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mbria" w:hAnsi="Cambria"/>
          <w:b/>
          <w:i w:val="0"/>
          <w:color w:val="0F243E"/>
          <w:sz w:val="48"/>
        </w:rPr>
        <w:t>Brian J. Makarewicz</w:t>
      </w:r>
    </w:p>
    <w:p>
      <w:pPr>
        <w:spacing w:after="40"/>
      </w:pPr>
      <w:r>
        <w:rPr>
          <w:rFonts w:ascii="Cambria" w:hAnsi="Cambria"/>
          <w:b w:val="0"/>
          <w:i w:val="0"/>
          <w:color w:val="1F497D"/>
          <w:sz w:val="24"/>
        </w:rPr>
        <w:t>Oracle Fusion Cloud ERP Solution Architect | Application Technology Lead</w:t>
      </w:r>
    </w:p>
    <w:p>
      <w:pPr>
        <w:spacing w:after="120"/>
        <w:pBdr>
          <w:bottom w:val="single" w:sz="8" w:space="2" w:color="1F497D"/>
        </w:pBdr>
      </w:pPr>
      <w:r>
        <w:rPr>
          <w:rFonts w:ascii="Calibri" w:hAnsi="Calibri"/>
          <w:b w:val="0"/>
          <w:i w:val="0"/>
          <w:color w:val="55606F"/>
          <w:sz w:val="18"/>
        </w:rPr>
        <w:t>Philadelphia, PA · US Citizen</w:t>
      </w:r>
      <w:r>
        <w:rPr>
          <w:rFonts w:ascii="Calibri" w:hAnsi="Calibri"/>
          <w:b w:val="0"/>
          <w:i w:val="0"/>
          <w:color w:val="55606F"/>
          <w:sz w:val="18"/>
        </w:rPr>
        <w:t xml:space="preserve">   ·   </w:t>
      </w:r>
      <w:r>
        <w:rPr>
          <w:rFonts w:ascii="Calibri" w:hAnsi="Calibri"/>
          <w:b w:val="0"/>
          <w:i w:val="0"/>
          <w:color w:val="55606F"/>
          <w:sz w:val="18"/>
        </w:rPr>
        <w:t>bmakarewicz@gmail.com</w:t>
      </w:r>
      <w:r>
        <w:rPr>
          <w:rFonts w:ascii="Calibri" w:hAnsi="Calibri"/>
          <w:b w:val="0"/>
          <w:i w:val="0"/>
          <w:color w:val="55606F"/>
          <w:sz w:val="18"/>
        </w:rPr>
        <w:t xml:space="preserve">   ·   </w:t>
      </w:r>
      <w:hyperlink r:id="rId9">
        <w:r>
          <w:rPr>
            <w:rFonts w:ascii="Calibri" w:hAnsi="Calibri"/>
            <w:sz w:val="18"/>
            <w:color w:val="1F497D"/>
            <w:u w:val="single"/>
          </w:rPr>
          <w:t xml:space="preserve">brianmak.com</w:t>
        </w:r>
      </w:hyperlink>
      <w:r>
        <w:rPr>
          <w:rFonts w:ascii="Calibri" w:hAnsi="Calibri"/>
          <w:b w:val="0"/>
          <w:i w:val="0"/>
          <w:color w:val="55606F"/>
          <w:sz w:val="18"/>
        </w:rPr>
        <w:t xml:space="preserve">   ·   </w:t>
      </w:r>
      <w:r>
        <w:rPr>
          <w:rFonts w:ascii="Calibri" w:hAnsi="Calibri"/>
          <w:b w:val="0"/>
          <w:i w:val="0"/>
          <w:color w:val="55606F"/>
          <w:sz w:val="18"/>
        </w:rPr>
        <w:t>linkedin.com/in/brian-makarewicz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16"/>
        <w:gridCol w:w="5616"/>
      </w:tblGrid>
      <w:tr>
        <w:tc>
          <w:tcPr>
            <w:tcW w:type="dxa" w:w="3312"/>
            <w:tcW w:w="3311" w:type="dxa"/>
            <w:shd w:val="clear" w:fill="0F243E"/>
            <w:tcMar>
              <w:top w:w="140" w:type="dxa"/>
              <w:bottom w:w="140" w:type="dxa"/>
              <w:start w:w="150" w:type="dxa"/>
              <w:end w:w="15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80160" cy="12801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shot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0" w:after="40" w:line="240" w:lineRule="auto"/>
              <w:pBdr>
                <w:bottom w:val="single" w:sz="6" w:space="2" w:color="3E5C86"/>
              </w:pBdr>
            </w:pPr>
            <w:r>
              <w:rPr>
                <w:rFonts w:ascii="Cambria" w:hAnsi="Cambria"/>
                <w:b/>
                <w:i w:val="0"/>
                <w:caps/>
                <w:color w:val="FFFFFF"/>
                <w:sz w:val="20"/>
              </w:rPr>
              <w:t>Education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M.S. Data Science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br/>
              <w:t>Saint Joseph’s University, 2018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M.B.A.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br/>
              <w:t>Saint Joseph’s University, 2015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B.S. Computer Engineering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br/>
              <w:t>Villanova University, 2001</w:t>
            </w:r>
          </w:p>
          <w:p>
            <w:pPr>
              <w:spacing w:before="140" w:after="40" w:line="240" w:lineRule="auto"/>
              <w:pBdr>
                <w:bottom w:val="single" w:sz="6" w:space="2" w:color="3E5C86"/>
              </w:pBdr>
            </w:pPr>
            <w:r>
              <w:rPr>
                <w:rFonts w:ascii="Cambria" w:hAnsi="Cambria"/>
                <w:b/>
                <w:i w:val="0"/>
                <w:caps/>
                <w:color w:val="FFFFFF"/>
                <w:sz w:val="20"/>
              </w:rPr>
              <w:t>Skills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Integration &amp; ETL: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Oracle Integration Cloud (OIC), REST/SOAP APIs, ODI, Informatica, SSIS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Loaders &amp; Conversion: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FBDI, HDL, BI Cloud Connectors, HCM Extracts, data migration/conversion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Applied AI: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Oracle AI Vector Search, Fusion AI Agent Studio, RAG, MCP servers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Cloud &amp; PaaS: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OCI, AWS, APEX, Visual Builder, solution architecture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Analytics &amp; Reporting: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BI Publisher, OTBI, Oracle Analytics Cloud, Fusion Data Intelligence, OBIEE/OBIA, Power BI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Languages &amp; DB: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PL/SQL, SQL, Python, Java, R; Oracle ATP, SQL Server, Teradata</w:t>
            </w:r>
          </w:p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 xml:space="preserve">ERP: </w:t>
            </w: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>Oracle Fusion Cloud ERP (Financials AP/AR/GL/FA, Procurement/P2P, Order-to-Cash, HCM, SCM); Oracle E-Business Suite (11i, R12)</w:t>
            </w:r>
          </w:p>
          <w:p>
            <w:pPr>
              <w:spacing w:before="140" w:after="40" w:line="240" w:lineRule="auto"/>
              <w:pBdr>
                <w:bottom w:val="single" w:sz="6" w:space="2" w:color="3E5C86"/>
              </w:pBdr>
            </w:pPr>
            <w:r>
              <w:rPr>
                <w:rFonts w:ascii="Cambria" w:hAnsi="Cambria"/>
                <w:b/>
                <w:i w:val="0"/>
                <w:caps/>
                <w:color w:val="FFFFFF"/>
                <w:sz w:val="20"/>
              </w:rPr>
              <w:t>Certifications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Fusion AI Agent Studio Foundations Associate, 2025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APEX Cloud Certified Professional, 2025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AI Vector Search Certified Professional, 2025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AI with Python, HarvardX, 2025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Cloud Infrastructure Certified Architect Professional, 2024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AWS Certified Solutions Architect – Associate (SAA-C03), 2023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Cloud Platform Application Development Specialist, 2021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Cloud Application Integration Certified Associate, 2019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Applications Cloud Extensibility Implementation Specialist, 2016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Sales Cloud Implementation Specialist, 2016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BI Foundation Suite 11g Certified Implementation Specialist, 2013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BI Applications Certified Implementation Specialist, 2012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5"/>
              </w:rPr>
              <w:t>Oracle BI Foundation Suite 11 Pre-Sales Specialist, 2011</w:t>
            </w:r>
          </w:p>
          <w:p>
            <w:pPr>
              <w:spacing w:before="140" w:after="40" w:line="240" w:lineRule="auto"/>
              <w:pBdr>
                <w:bottom w:val="single" w:sz="6" w:space="2" w:color="3E5C86"/>
              </w:pBdr>
            </w:pPr>
            <w:r>
              <w:rPr>
                <w:rFonts w:ascii="Cambria" w:hAnsi="Cambria"/>
                <w:b/>
                <w:i w:val="0"/>
                <w:caps/>
                <w:color w:val="FFFFFF"/>
                <w:sz w:val="20"/>
              </w:rPr>
              <w:t>Speaking &amp; Publications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/>
                <w:color w:val="CFDAE8"/>
                <w:sz w:val="15"/>
              </w:rPr>
              <w:t>“VBS Is Not Just a PaaSing Fad,” Ascend 2026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/>
                <w:color w:val="CFDAE8"/>
                <w:sz w:val="15"/>
              </w:rPr>
              <w:t>“Extending Fusion Applications using Visual Builder Studio,” Ascend 2025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/>
                <w:color w:val="CFDAE8"/>
                <w:sz w:val="15"/>
              </w:rPr>
              <w:t>“Using File-Based Data Loaders for ERP Integrations,” DC OATUG 2021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/>
                <w:color w:val="CFDAE8"/>
                <w:sz w:val="15"/>
              </w:rPr>
              <w:t>“Integrating 3rd-Party Systems with Cloud Using Only Files and PL/SQL,” Collaborate 2020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/>
                <w:color w:val="CFDAE8"/>
                <w:sz w:val="15"/>
              </w:rPr>
              <w:t>“A Hybrid Approach: Keep Your Analytics in the Clouds When Your Data Is Not,” Collaborate 2016</w:t>
            </w:r>
          </w:p>
          <w:p>
            <w:pPr>
              <w:spacing w:before="140" w:after="40" w:line="240" w:lineRule="auto"/>
              <w:pBdr>
                <w:bottom w:val="single" w:sz="6" w:space="2" w:color="3E5C86"/>
              </w:pBdr>
            </w:pPr>
            <w:r>
              <w:rPr>
                <w:rFonts w:ascii="Cambria" w:hAnsi="Cambria"/>
                <w:b/>
                <w:i w:val="0"/>
                <w:caps/>
                <w:color w:val="FFFFFF"/>
                <w:sz w:val="20"/>
              </w:rPr>
              <w:t>Focus Areas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 xml:space="preserve">▪ </w:t>
            </w: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Oracle Fusion Cloud ERP implementation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 xml:space="preserve">▪ </w:t>
            </w: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Enterprise integration &amp; data migration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 xml:space="preserve">▪ </w:t>
            </w: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BI, analytics &amp; data warehousing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 xml:space="preserve">▪ </w:t>
            </w: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Applied &amp; governed AI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 w:val="0"/>
                <w:i w:val="0"/>
                <w:color w:val="CFDAE8"/>
                <w:sz w:val="16"/>
              </w:rPr>
              <w:t xml:space="preserve">▪ </w:t>
            </w: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Practice leadership &amp; delivery</w:t>
            </w:r>
          </w:p>
        </w:tc>
        <w:tc>
          <w:tcPr>
            <w:tcW w:type="dxa" w:w="8064"/>
            <w:tcW w:w="8063" w:type="dxa"/>
            <w:tcMar>
              <w:top w:w="140" w:type="dxa"/>
              <w:bottom w:w="120" w:type="dxa"/>
              <w:start w:w="190" w:type="dxa"/>
              <w:end w:w="120" w:type="dxa"/>
            </w:tcMar>
          </w:tcPr>
          <w:p>
            <w:pPr>
              <w:spacing w:after="40"/>
              <w:pBdr>
                <w:bottom w:val="single" w:sz="8" w:space="2" w:color="1F497D"/>
              </w:pBdr>
            </w:pPr>
            <w:r>
              <w:rPr>
                <w:rFonts w:ascii="Cambria" w:hAnsi="Cambria"/>
                <w:b/>
                <w:i w:val="0"/>
                <w:caps/>
                <w:color w:val="0F243E"/>
                <w:sz w:val="24"/>
              </w:rPr>
              <w:t>Career Summary</w:t>
            </w:r>
          </w:p>
          <w:p>
            <w:pPr>
              <w:spacing w:before="0" w:after="60" w:line="240" w:lineRule="auto"/>
            </w:pP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Oracle Fusion Cloud ERP solution architect and practice lead with 20+ years delivering ERP, integration, data warehousing, and — most recently — production AI. Technical lead on 40+ multi-year implementation engagements, personally delivering 200+ Oracle Integration Cloud integrations and migrating millions of records with reconciliation to source. Built a production RAG application on Oracle AI Vector Search, governed workflow agents in Oracle Fusion AI Agent Studio, and an open-source MCP server giving AI agents safe, scoped access to Fusion reporting. Five-time conference speaker (Ascend, Collaborate, OATUG) who still writes the code.</w:t>
            </w:r>
          </w:p>
          <w:p>
            <w:pPr>
              <w:spacing w:before="120" w:after="40" w:line="240" w:lineRule="auto"/>
              <w:pBdr>
                <w:bottom w:val="single" w:sz="8" w:space="2" w:color="1F497D"/>
              </w:pBdr>
            </w:pPr>
            <w:r>
              <w:rPr>
                <w:rFonts w:ascii="Cambria" w:hAnsi="Cambria"/>
                <w:b/>
                <w:i w:val="0"/>
                <w:caps/>
                <w:color w:val="0F243E"/>
                <w:sz w:val="24"/>
              </w:rPr>
              <w:t>Experience</w:t>
            </w:r>
          </w:p>
          <w:p>
            <w:pPr>
              <w:spacing w:before="100" w:after="0" w:line="240" w:lineRule="auto"/>
            </w:pPr>
            <w:r>
              <w:rPr>
                <w:rFonts w:ascii="Cambria" w:hAnsi="Cambria"/>
                <w:b/>
                <w:i w:val="0"/>
                <w:color w:val="22262E"/>
                <w:sz w:val="21"/>
              </w:rPr>
              <w:t>Applications Technology Practice Lead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>Creoal Consulting (acquired by SMX), Newtown, PA</w:t>
            </w:r>
            <w:r>
              <w:rPr>
                <w:rFonts w:ascii="Calibri" w:hAnsi="Calibri"/>
                <w:b w:val="0"/>
                <w:i w:val="0"/>
                <w:color w:val="55606F"/>
                <w:sz w:val="17"/>
              </w:rPr>
              <w:t xml:space="preserve">   ·   June 2018 – Present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Lead teams of 5–10 onshore and offshore consultants delivering Oracle Cloud ERP integrations, extensions, and reporting for Fortune 500, mid-market, and government clients.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Built a production RAG app on Oracle AI Vector Search, governed workflow agents in Oracle Fusion AI Agent Studio, and an open-source Fusion BI Publisher MCP server for AI agents.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Technical lead on 30+ Oracle Cloud ERP go-lives; delivered 200+ OIC integrations to 20+ third-party systems, processing 2M+ transactions per month.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Built reusable PL/SQL integration frameworks that cut per-integration build time ~40%, saving an estimated 1,500+ developer-hours a year.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Automated FBDI/HDL data loads and pixel-perfect BI Publisher disbursements (checks, ACH/eText) processing $500M+ annually.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Developed OTBI and BI Publisher reporting; extended Fusion via Application Composer, Visual Builder Studio, APEX, and VBCS.</w:t>
            </w:r>
          </w:p>
          <w:p>
            <w:pPr>
              <w:spacing w:before="100" w:after="0" w:line="240" w:lineRule="auto"/>
            </w:pPr>
            <w:r>
              <w:rPr>
                <w:rFonts w:ascii="Cambria" w:hAnsi="Cambria"/>
                <w:b/>
                <w:i w:val="0"/>
                <w:color w:val="22262E"/>
                <w:sz w:val="21"/>
              </w:rPr>
              <w:t>BI &amp; Applications Technology Practice Director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>Biztech (acquired by Denovo)</w:t>
            </w:r>
            <w:r>
              <w:rPr>
                <w:rFonts w:ascii="Calibri" w:hAnsi="Calibri"/>
                <w:b w:val="0"/>
                <w:i w:val="0"/>
                <w:color w:val="55606F"/>
                <w:sz w:val="17"/>
              </w:rPr>
              <w:t xml:space="preserve">   ·   2011 – 2018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Directed the BI and Applications Technology practice (team of 20+, sales support); designed 40+ data-warehouse solutions in OBIEE/OAC and implemented OBIA for 20+ clients.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Built Insight Accelerators, a real-time financial reporting bolt-on for Oracle E-Business Suite, adopted by 15+ clients.</w:t>
            </w:r>
          </w:p>
          <w:p>
            <w:pPr>
              <w:spacing w:before="100" w:after="0" w:line="240" w:lineRule="auto"/>
            </w:pPr>
            <w:r>
              <w:rPr>
                <w:rFonts w:ascii="Cambria" w:hAnsi="Cambria"/>
                <w:b/>
                <w:i w:val="0"/>
                <w:color w:val="22262E"/>
                <w:sz w:val="21"/>
              </w:rPr>
              <w:t>Data Warehouse &amp; Analytics Lead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>Sungard AS</w:t>
            </w:r>
            <w:r>
              <w:rPr>
                <w:rFonts w:ascii="Calibri" w:hAnsi="Calibri"/>
                <w:b w:val="0"/>
                <w:i w:val="0"/>
                <w:color w:val="55606F"/>
                <w:sz w:val="17"/>
              </w:rPr>
              <w:t xml:space="preserve">   ·   2009 – 2011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Built an enterprise data warehouse on OBIEE, Teradata, and Informatica integrating 8 source systems and 500GB+ of data, tuned to sub-second query response.</w:t>
            </w:r>
          </w:p>
          <w:p>
            <w:pPr>
              <w:spacing w:before="100" w:after="0" w:line="240" w:lineRule="auto"/>
            </w:pPr>
            <w:r>
              <w:rPr>
                <w:rFonts w:ascii="Cambria" w:hAnsi="Cambria"/>
                <w:b/>
                <w:i w:val="0"/>
                <w:color w:val="22262E"/>
                <w:sz w:val="21"/>
              </w:rPr>
              <w:t>Senior ERP Technical Consultant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>Biztech</w:t>
            </w:r>
            <w:r>
              <w:rPr>
                <w:rFonts w:ascii="Calibri" w:hAnsi="Calibri"/>
                <w:b w:val="0"/>
                <w:i w:val="0"/>
                <w:color w:val="55606F"/>
                <w:sz w:val="17"/>
              </w:rPr>
              <w:t xml:space="preserve">   ·   2005 – 2009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Hands-on Oracle E-Business Suite developer (R12/11i): custom AR-to-Cash, a BI Publisher reporting suite, and iProcurement; delivered 25+ client implementations.</w:t>
            </w:r>
          </w:p>
          <w:p>
            <w:pPr>
              <w:spacing w:before="100" w:after="0" w:line="240" w:lineRule="auto"/>
            </w:pPr>
            <w:r>
              <w:rPr>
                <w:rFonts w:ascii="Cambria" w:hAnsi="Cambria"/>
                <w:b/>
                <w:i w:val="0"/>
                <w:color w:val="22262E"/>
                <w:sz w:val="21"/>
              </w:rPr>
              <w:t>Business Systems Analyst &amp; Release Management Analyst</w:t>
            </w:r>
          </w:p>
          <w:p>
            <w:pPr>
              <w:spacing w:before="0" w:after="20" w:line="240" w:lineRule="auto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>IKON Office Solutions / Ricoh</w:t>
            </w:r>
            <w:r>
              <w:rPr>
                <w:rFonts w:ascii="Calibri" w:hAnsi="Calibri"/>
                <w:b w:val="0"/>
                <w:i w:val="0"/>
                <w:color w:val="55606F"/>
                <w:sz w:val="17"/>
              </w:rPr>
              <w:t xml:space="preserve">   ·   2001 – 2005</w:t>
            </w:r>
          </w:p>
          <w:p>
            <w:pPr>
              <w:spacing w:before="0" w:after="40" w:line="240" w:lineRule="auto"/>
              <w:ind w:left="216" w:hanging="187"/>
            </w:pPr>
            <w:r>
              <w:rPr>
                <w:rFonts w:ascii="Calibri" w:hAnsi="Calibri"/>
                <w:b/>
                <w:i w:val="0"/>
                <w:color w:val="1F497D"/>
                <w:sz w:val="18"/>
              </w:rPr>
              <w:t xml:space="preserve">▪  </w:t>
            </w:r>
            <w:r>
              <w:rPr>
                <w:rFonts w:ascii="Calibri" w:hAnsi="Calibri"/>
                <w:b w:val="0"/>
                <w:i w:val="0"/>
                <w:color w:val="22262E"/>
                <w:sz w:val="18"/>
              </w:rPr>
              <w:t>Superuser and business systems analyst for Oracle EBS Purchasing, iProcurement, and Inventory (2,000+ users); QA and release management across six EBS instances.</w:t>
            </w:r>
          </w:p>
        </w:tc>
      </w:tr>
    </w:tbl>
    <w:sectPr w:rsidR="00FC693F" w:rsidRPr="0006063C" w:rsidSect="00034616">
      <w:pgSz w:w="12240" w:h="15840"/>
      <w:pgMar w:top="432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Calibri" w:hAnsi="Calibri"/>
      <w:color w:val="22262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anmak.com" TargetMode="Externa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