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Calibri" w:hAnsi="Calibri"/>
          <w:b/>
          <w:i w:val="0"/>
          <w:color w:val="000000"/>
          <w:sz w:val="36"/>
        </w:rPr>
        <w:t>Brian J. Makarewicz</w:t>
      </w:r>
    </w:p>
    <w:p>
      <w:pPr>
        <w:spacing w:after="0"/>
        <w:jc w:val="center"/>
      </w:pPr>
      <w:r>
        <w:rPr>
          <w:rFonts w:ascii="Calibri" w:hAnsi="Calibri"/>
          <w:b w:val="0"/>
          <w:i w:val="0"/>
          <w:color w:val="000000"/>
          <w:sz w:val="22"/>
        </w:rPr>
        <w:t>Oracle Fusion Cloud ERP Solution Architect | Application Technology Lead</w:t>
      </w:r>
    </w:p>
    <w:p>
      <w:pPr>
        <w:spacing w:after="0"/>
        <w:jc w:val="center"/>
      </w:pPr>
      <w:r>
        <w:rPr>
          <w:rFonts w:ascii="Calibri" w:hAnsi="Calibri"/>
          <w:b w:val="0"/>
          <w:i w:val="0"/>
          <w:color w:val="000000"/>
          <w:sz w:val="19"/>
        </w:rPr>
        <w:t>Philadelphia, PA · US Citizen | bmakarewicz@gmail.com | brianmak.com | linkedin.com/in/brian-makarewicz</w:t>
      </w:r>
    </w:p>
    <w:p>
      <w:pPr>
        <w:spacing w:before="180" w:after="40"/>
        <w:pBdr>
          <w:bottom w:val="single" w:sz="6" w:space="2" w:color="000000"/>
        </w:pBdr>
      </w:pPr>
      <w:r>
        <w:rPr>
          <w:rFonts w:ascii="Calibri" w:hAnsi="Calibri"/>
          <w:b/>
          <w:i w:val="0"/>
          <w:caps/>
          <w:color w:val="000000"/>
          <w:sz w:val="23"/>
        </w:rPr>
        <w:t>Summary</w:t>
      </w:r>
    </w:p>
    <w:p>
      <w:r>
        <w:rPr>
          <w:rFonts w:ascii="Calibri" w:hAnsi="Calibri"/>
          <w:b w:val="0"/>
          <w:i w:val="0"/>
          <w:color w:val="000000"/>
          <w:sz w:val="21"/>
        </w:rPr>
        <w:t>Oracle Fusion Cloud ERP solution architect and practice lead with 20+ years delivering ERP, integration, data warehousing, and — most recently — production AI. Technical lead on 40+ multi-year implementation engagements, personally delivering 200+ Oracle Integration Cloud integrations and migrating millions of records with reconciliation to source. Built a production RAG application on Oracle AI Vector Search, governed workflow agents in Oracle Fusion AI Agent Studio, and an open-source MCP server giving AI agents safe, scoped access to Fusion reporting. Five-time conference speaker (Ascend, Collaborate, OATUG) who still writes the code.</w:t>
      </w:r>
    </w:p>
    <w:p>
      <w:pPr>
        <w:spacing w:before="180" w:after="40"/>
        <w:pBdr>
          <w:bottom w:val="single" w:sz="6" w:space="2" w:color="000000"/>
        </w:pBdr>
      </w:pPr>
      <w:r>
        <w:rPr>
          <w:rFonts w:ascii="Calibri" w:hAnsi="Calibri"/>
          <w:b/>
          <w:i w:val="0"/>
          <w:caps/>
          <w:color w:val="000000"/>
          <w:sz w:val="23"/>
        </w:rPr>
        <w:t>Selected Achievements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Technical lead on 30+ Oracle Fusion Cloud ERP go-lives across Financials, HCM, and SCM.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200+ OIC integrations delivered; reusable PL/SQL frameworks cut per-integration build time ~40%, saving an estimated 1,500+ developer-hours a year.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Shipped production AI: a RAG app on Oracle AI Vector Search, governed AI Agent Studio workflow agents, and an open-source Fusion BI Publisher MCP server.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Automated disbursements processing $500M+ in annual ACH and check payments across client portfolios.</w:t>
      </w:r>
    </w:p>
    <w:p>
      <w:pPr>
        <w:spacing w:before="180" w:after="40"/>
        <w:pBdr>
          <w:bottom w:val="single" w:sz="6" w:space="2" w:color="000000"/>
        </w:pBdr>
      </w:pPr>
      <w:r>
        <w:rPr>
          <w:rFonts w:ascii="Calibri" w:hAnsi="Calibri"/>
          <w:b/>
          <w:i w:val="0"/>
          <w:caps/>
          <w:color w:val="000000"/>
          <w:sz w:val="23"/>
        </w:rPr>
        <w:t>Core Skills</w:t>
      </w:r>
    </w:p>
    <w:p>
      <w:pPr>
        <w:spacing w:after="20"/>
      </w:pPr>
      <w:r>
        <w:rPr>
          <w:rFonts w:ascii="Calibri" w:hAnsi="Calibri"/>
          <w:b/>
          <w:i w:val="0"/>
          <w:color w:val="000000"/>
          <w:sz w:val="21"/>
        </w:rPr>
        <w:t xml:space="preserve">Integration &amp; ETL: </w:t>
      </w:r>
      <w:r>
        <w:rPr>
          <w:rFonts w:ascii="Calibri" w:hAnsi="Calibri"/>
          <w:b w:val="0"/>
          <w:i w:val="0"/>
          <w:color w:val="000000"/>
          <w:sz w:val="21"/>
        </w:rPr>
        <w:t>Oracle Integration Cloud (OIC), REST/SOAP APIs, ODI, Informatica, SSIS</w:t>
      </w:r>
    </w:p>
    <w:p>
      <w:pPr>
        <w:spacing w:after="20"/>
      </w:pPr>
      <w:r>
        <w:rPr>
          <w:rFonts w:ascii="Calibri" w:hAnsi="Calibri"/>
          <w:b/>
          <w:i w:val="0"/>
          <w:color w:val="000000"/>
          <w:sz w:val="21"/>
        </w:rPr>
        <w:t xml:space="preserve">Loaders &amp; Conversion: </w:t>
      </w:r>
      <w:r>
        <w:rPr>
          <w:rFonts w:ascii="Calibri" w:hAnsi="Calibri"/>
          <w:b w:val="0"/>
          <w:i w:val="0"/>
          <w:color w:val="000000"/>
          <w:sz w:val="21"/>
        </w:rPr>
        <w:t>FBDI, HDL, BI Cloud Connectors, HCM Extracts, data migration/conversion</w:t>
      </w:r>
    </w:p>
    <w:p>
      <w:pPr>
        <w:spacing w:after="20"/>
      </w:pPr>
      <w:r>
        <w:rPr>
          <w:rFonts w:ascii="Calibri" w:hAnsi="Calibri"/>
          <w:b/>
          <w:i w:val="0"/>
          <w:color w:val="000000"/>
          <w:sz w:val="21"/>
        </w:rPr>
        <w:t xml:space="preserve">Applied AI: </w:t>
      </w:r>
      <w:r>
        <w:rPr>
          <w:rFonts w:ascii="Calibri" w:hAnsi="Calibri"/>
          <w:b w:val="0"/>
          <w:i w:val="0"/>
          <w:color w:val="000000"/>
          <w:sz w:val="21"/>
        </w:rPr>
        <w:t>Oracle AI Vector Search, Fusion AI Agent Studio, RAG, MCP servers</w:t>
      </w:r>
    </w:p>
    <w:p>
      <w:pPr>
        <w:spacing w:after="20"/>
      </w:pPr>
      <w:r>
        <w:rPr>
          <w:rFonts w:ascii="Calibri" w:hAnsi="Calibri"/>
          <w:b/>
          <w:i w:val="0"/>
          <w:color w:val="000000"/>
          <w:sz w:val="21"/>
        </w:rPr>
        <w:t xml:space="preserve">Cloud &amp; PaaS: </w:t>
      </w:r>
      <w:r>
        <w:rPr>
          <w:rFonts w:ascii="Calibri" w:hAnsi="Calibri"/>
          <w:b w:val="0"/>
          <w:i w:val="0"/>
          <w:color w:val="000000"/>
          <w:sz w:val="21"/>
        </w:rPr>
        <w:t>OCI, AWS, APEX, Visual Builder, solution architecture</w:t>
      </w:r>
    </w:p>
    <w:p>
      <w:pPr>
        <w:spacing w:after="20"/>
      </w:pPr>
      <w:r>
        <w:rPr>
          <w:rFonts w:ascii="Calibri" w:hAnsi="Calibri"/>
          <w:b/>
          <w:i w:val="0"/>
          <w:color w:val="000000"/>
          <w:sz w:val="21"/>
        </w:rPr>
        <w:t xml:space="preserve">Analytics &amp; Reporting: </w:t>
      </w:r>
      <w:r>
        <w:rPr>
          <w:rFonts w:ascii="Calibri" w:hAnsi="Calibri"/>
          <w:b w:val="0"/>
          <w:i w:val="0"/>
          <w:color w:val="000000"/>
          <w:sz w:val="21"/>
        </w:rPr>
        <w:t>BI Publisher, OTBI, Oracle Analytics Cloud, Fusion Data Intelligence, OBIEE/OBIA, Power BI</w:t>
      </w:r>
    </w:p>
    <w:p>
      <w:pPr>
        <w:spacing w:after="20"/>
      </w:pPr>
      <w:r>
        <w:rPr>
          <w:rFonts w:ascii="Calibri" w:hAnsi="Calibri"/>
          <w:b/>
          <w:i w:val="0"/>
          <w:color w:val="000000"/>
          <w:sz w:val="21"/>
        </w:rPr>
        <w:t xml:space="preserve">Languages &amp; DB: </w:t>
      </w:r>
      <w:r>
        <w:rPr>
          <w:rFonts w:ascii="Calibri" w:hAnsi="Calibri"/>
          <w:b w:val="0"/>
          <w:i w:val="0"/>
          <w:color w:val="000000"/>
          <w:sz w:val="21"/>
        </w:rPr>
        <w:t>PL/SQL, SQL, Python, Java, R; Oracle ATP, SQL Server, Teradata</w:t>
      </w:r>
    </w:p>
    <w:p>
      <w:pPr>
        <w:spacing w:after="20"/>
      </w:pPr>
      <w:r>
        <w:rPr>
          <w:rFonts w:ascii="Calibri" w:hAnsi="Calibri"/>
          <w:b/>
          <w:i w:val="0"/>
          <w:color w:val="000000"/>
          <w:sz w:val="21"/>
        </w:rPr>
        <w:t xml:space="preserve">ERP: </w:t>
      </w:r>
      <w:r>
        <w:rPr>
          <w:rFonts w:ascii="Calibri" w:hAnsi="Calibri"/>
          <w:b w:val="0"/>
          <w:i w:val="0"/>
          <w:color w:val="000000"/>
          <w:sz w:val="21"/>
        </w:rPr>
        <w:t>Oracle Fusion Cloud ERP (Financials AP/AR/GL/FA, Procurement/P2P, Order-to-Cash, HCM, SCM); Oracle E-Business Suite (11i, R12)</w:t>
      </w:r>
    </w:p>
    <w:p>
      <w:pPr>
        <w:spacing w:before="180" w:after="40"/>
        <w:pBdr>
          <w:bottom w:val="single" w:sz="6" w:space="2" w:color="000000"/>
        </w:pBdr>
      </w:pPr>
      <w:r>
        <w:rPr>
          <w:rFonts w:ascii="Calibri" w:hAnsi="Calibri"/>
          <w:b/>
          <w:i w:val="0"/>
          <w:caps/>
          <w:color w:val="000000"/>
          <w:sz w:val="23"/>
        </w:rPr>
        <w:t>Professional Experience</w:t>
      </w:r>
    </w:p>
    <w:p>
      <w:pPr>
        <w:spacing w:before="120" w:after="0"/>
      </w:pPr>
      <w:r>
        <w:rPr>
          <w:rFonts w:ascii="Calibri" w:hAnsi="Calibri"/>
          <w:b/>
          <w:i w:val="0"/>
          <w:color w:val="000000"/>
          <w:sz w:val="22"/>
        </w:rPr>
        <w:t>Applications Technology Practice Lead</w:t>
      </w:r>
    </w:p>
    <w:p>
      <w:pPr>
        <w:spacing w:after="40"/>
      </w:pPr>
      <w:r>
        <w:rPr>
          <w:rFonts w:ascii="Calibri" w:hAnsi="Calibri"/>
          <w:b w:val="0"/>
          <w:i/>
          <w:color w:val="000000"/>
          <w:sz w:val="21"/>
        </w:rPr>
        <w:t>Creoal Consulting (acquired by SMX), Newtown, PA | June 2018 – Present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Lead teams of 5–10 onshore and offshore consultants across 12+ concurrent engagements, delivering Oracle Cloud ERP integrations, custom extensions, and reporting for Fortune 500, mid-market, and federal, state, and local government clients.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Built a production RAG application on Oracle AI Vector Search (cutting transcript lookup from minutes to seconds for 200+ users), governed workflow agents in Oracle Fusion AI Agent Studio, and an open-source Fusion BI Publisher MCP server exposing scoped reporting tools to AI agents.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Technical lead on 30+ Oracle Cloud ERP go-lives; personally delivered 200+ OIC integrations (scheduled, event-driven, pub/sub, app-driven) to 20+ third-party systems, processing 2M+ transactions per month.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Built reusable PL/SQL integration frameworks that cut per-integration build time ~40% and standardized error handling, logging, and notification — saving an estimated 1,500+ developer-hours a year across 200+ integrations.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Automated bulk data loads (FBDI/HDL) and outbound extracts (BI Cloud Connectors, HCM Extracts), and delivered pixel-perfect BI Publisher output (checks, POs, AR invoices, ACH/eText) disbursing $500M+ in annual payments; extended Fusion via Application Composer, Visual Builder Studio, APEX, and VBCS.</w:t>
      </w:r>
    </w:p>
    <w:p>
      <w:pPr>
        <w:spacing w:before="120" w:after="0"/>
      </w:pPr>
      <w:r>
        <w:rPr>
          <w:rFonts w:ascii="Calibri" w:hAnsi="Calibri"/>
          <w:b/>
          <w:i w:val="0"/>
          <w:color w:val="000000"/>
          <w:sz w:val="22"/>
        </w:rPr>
        <w:t>BI &amp; Applications Technology Practice Director</w:t>
      </w:r>
    </w:p>
    <w:p>
      <w:pPr>
        <w:spacing w:after="40"/>
      </w:pPr>
      <w:r>
        <w:rPr>
          <w:rFonts w:ascii="Calibri" w:hAnsi="Calibri"/>
          <w:b w:val="0"/>
          <w:i/>
          <w:color w:val="000000"/>
          <w:sz w:val="21"/>
        </w:rPr>
        <w:t>Biztech (acquired by Denovo) | 2011 – 2018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Directed the BI and Applications Technology practice: owned delivery and utilization across a team of 20+, supported sales (proposals, SOWs, solution architecture), and stayed hands-on as architect on the most complex engagements.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Designed and implemented 40+ custom data-warehouse solutions in OBIEE and OAC, including RPD snowflake models with federated sources; implemented OBIA Financials, Supply Chain, and HR for 20+ clients.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Built Insight Accelerators, a real-time financial reporting bolt-on for Oracle E-Business Suite with drill-through from statements to transaction detail, adopted by 15+ EBS clients.</w:t>
      </w:r>
    </w:p>
    <w:p>
      <w:pPr>
        <w:spacing w:before="120" w:after="0"/>
      </w:pPr>
      <w:r>
        <w:rPr>
          <w:rFonts w:ascii="Calibri" w:hAnsi="Calibri"/>
          <w:b/>
          <w:i w:val="0"/>
          <w:color w:val="000000"/>
          <w:sz w:val="22"/>
        </w:rPr>
        <w:t>Data Warehouse &amp; Analytics Lead</w:t>
      </w:r>
    </w:p>
    <w:p>
      <w:pPr>
        <w:spacing w:after="40"/>
      </w:pPr>
      <w:r>
        <w:rPr>
          <w:rFonts w:ascii="Calibri" w:hAnsi="Calibri"/>
          <w:b w:val="0"/>
          <w:i/>
          <w:color w:val="000000"/>
          <w:sz w:val="21"/>
        </w:rPr>
        <w:t>Sungard AS | 2009 – 2011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Built and operated an enterprise data warehouse on OBIEE, Teradata, and Informatica integrating 8 source systems (Oracle R12, Salesforce, Changepoint, Lotus Notes) and 500GB+ of data; nightly ETL via IBM Tivoli and Oracle DAC, tuned to sub-second query response.</w:t>
      </w:r>
    </w:p>
    <w:p>
      <w:pPr>
        <w:spacing w:before="120" w:after="0"/>
      </w:pPr>
      <w:r>
        <w:rPr>
          <w:rFonts w:ascii="Calibri" w:hAnsi="Calibri"/>
          <w:b/>
          <w:i w:val="0"/>
          <w:color w:val="000000"/>
          <w:sz w:val="22"/>
        </w:rPr>
        <w:t>Senior ERP Technical Consultant</w:t>
      </w:r>
    </w:p>
    <w:p>
      <w:pPr>
        <w:spacing w:after="40"/>
      </w:pPr>
      <w:r>
        <w:rPr>
          <w:rFonts w:ascii="Calibri" w:hAnsi="Calibri"/>
          <w:b w:val="0"/>
          <w:i/>
          <w:color w:val="000000"/>
          <w:sz w:val="21"/>
        </w:rPr>
        <w:t>Biztech | 2005 – 2009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Hands-on Oracle E-Business Suite developer (R12/11i): custom AR-to-Cash revenue solution, a BI Publisher reporting suite across OM/PO/WIP/Shipping, and an iProcurement rollout; led integrations, conversions, and reporting for 25+ client implementations with QA and performance tuning for error-free go-lives.</w:t>
      </w:r>
    </w:p>
    <w:p>
      <w:pPr>
        <w:spacing w:before="120" w:after="0"/>
      </w:pPr>
      <w:r>
        <w:rPr>
          <w:rFonts w:ascii="Calibri" w:hAnsi="Calibri"/>
          <w:b/>
          <w:i w:val="0"/>
          <w:color w:val="000000"/>
          <w:sz w:val="22"/>
        </w:rPr>
        <w:t>Business Systems Analyst &amp; Release Management Analyst</w:t>
      </w:r>
    </w:p>
    <w:p>
      <w:pPr>
        <w:spacing w:after="40"/>
      </w:pPr>
      <w:r>
        <w:rPr>
          <w:rFonts w:ascii="Calibri" w:hAnsi="Calibri"/>
          <w:b w:val="0"/>
          <w:i/>
          <w:color w:val="000000"/>
          <w:sz w:val="21"/>
        </w:rPr>
        <w:t>IKON Office Solutions / Ricoh | 2001 – 2005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Superuser and business systems analyst for Oracle E-Business Suite Purchasing, iProcurement, and Inventory supporting 2,000+ users; automated purchasing via the EDI 832 Catalog process; QA tester and release-management analyst controlling code promotion across six EBS instances.</w:t>
      </w:r>
    </w:p>
    <w:p>
      <w:pPr>
        <w:spacing w:before="180" w:after="40"/>
        <w:pBdr>
          <w:bottom w:val="single" w:sz="6" w:space="2" w:color="000000"/>
        </w:pBdr>
      </w:pPr>
      <w:r>
        <w:rPr>
          <w:rFonts w:ascii="Calibri" w:hAnsi="Calibri"/>
          <w:b/>
          <w:i w:val="0"/>
          <w:caps/>
          <w:color w:val="000000"/>
          <w:sz w:val="23"/>
        </w:rPr>
        <w:t>Education</w:t>
      </w:r>
    </w:p>
    <w:p>
      <w:r>
        <w:rPr>
          <w:rFonts w:ascii="Calibri" w:hAnsi="Calibri"/>
          <w:b w:val="0"/>
          <w:i w:val="0"/>
          <w:color w:val="000000"/>
          <w:sz w:val="21"/>
        </w:rPr>
        <w:t>M.S. Data Science — Saint Joseph’s University, 2018</w:t>
      </w:r>
    </w:p>
    <w:p>
      <w:r>
        <w:rPr>
          <w:rFonts w:ascii="Calibri" w:hAnsi="Calibri"/>
          <w:b w:val="0"/>
          <w:i w:val="0"/>
          <w:color w:val="000000"/>
          <w:sz w:val="21"/>
        </w:rPr>
        <w:t>M.B.A. — Saint Joseph’s University, 2015</w:t>
      </w:r>
    </w:p>
    <w:p>
      <w:r>
        <w:rPr>
          <w:rFonts w:ascii="Calibri" w:hAnsi="Calibri"/>
          <w:b w:val="0"/>
          <w:i w:val="0"/>
          <w:color w:val="000000"/>
          <w:sz w:val="21"/>
        </w:rPr>
        <w:t>B.S. Computer Engineering — Villanova University, 2001</w:t>
      </w:r>
    </w:p>
    <w:p>
      <w:pPr>
        <w:spacing w:before="180" w:after="40"/>
        <w:pBdr>
          <w:bottom w:val="single" w:sz="6" w:space="2" w:color="000000"/>
        </w:pBdr>
      </w:pPr>
      <w:r>
        <w:rPr>
          <w:rFonts w:ascii="Calibri" w:hAnsi="Calibri"/>
          <w:b/>
          <w:i w:val="0"/>
          <w:caps/>
          <w:color w:val="000000"/>
          <w:sz w:val="23"/>
        </w:rPr>
        <w:t>Certifications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Oracle Fusion AI Agent Studio Foundations Associate, 2025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Oracle APEX Cloud Certified Professional, 2025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Oracle AI Vector Search Certified Professional, 2025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AI with Python, HarvardX, 2025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Oracle Cloud Infrastructure Certified Architect Professional, 2024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AWS Certified Solutions Architect – Associate (SAA-C03), 2023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Oracle Cloud Platform Application Development Specialist, 2021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Oracle Cloud Application Integration Certified Associate, 2019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Oracle Applications Cloud Extensibility Implementation Specialist, 2016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Oracle Sales Cloud Implementation Specialist, 2016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Oracle BI Foundation Suite 11g Certified Implementation Specialist, 2013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Oracle BI Applications Certified Implementation Specialist, 2012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Oracle BI Foundation Suite 11 Pre-Sales Specialist, 2011</w:t>
      </w:r>
    </w:p>
    <w:p>
      <w:pPr>
        <w:spacing w:before="180" w:after="40"/>
        <w:pBdr>
          <w:bottom w:val="single" w:sz="6" w:space="2" w:color="000000"/>
        </w:pBdr>
      </w:pPr>
      <w:r>
        <w:rPr>
          <w:rFonts w:ascii="Calibri" w:hAnsi="Calibri"/>
          <w:b/>
          <w:i w:val="0"/>
          <w:caps/>
          <w:color w:val="000000"/>
          <w:sz w:val="23"/>
        </w:rPr>
        <w:t>Speaking &amp; Publications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VBS Is Not Just a PaaSing Fad, Ascend 2026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Extending Fusion Applications using Visual Builder Studio, Ascend 2025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Using File-Based Data Loaders for ERP Integrations, DC OATUG 2021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Integrating 3rd-Party Systems with Cloud Using Only Files and PL/SQL, Collaborate 2020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1"/>
        </w:rPr>
        <w:t>A Hybrid Approach: Keep Your Analytics in the Clouds When Your Data Is Not, Collaborate 2016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5" w:lineRule="auto"/>
    </w:pPr>
    <w:rPr>
      <w:rFonts w:ascii="Calibri" w:hAnsi="Calibri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